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50 vom 23. Februar 2017</w:t>
      </w:r>
    </w:p>
    <w:p>
      <w:r>
        <w:t>GR Gerichte, 2017-02-23, DE</w:t>
      </w:r>
    </w:p>
    <w:p>
      <w:r>
        <w:rPr>
          <w:b/>
        </w:rPr>
        <w:t xml:space="preserve">Quelle: </w:t>
      </w:r>
      <w:r>
        <w:t>https://mcp.opencaselaw.ch/entscheid/gr_gerichte_ZK2 2015 50</w:t>
      </w:r>
    </w:p>
    <w:p>
      <w:r>
        <w:t>FR: GR_GERICHTE ZK2 2015 50 du 23 février 2017</w:t>
      </w:r>
    </w:p>
    <w:p>
      <w:r>
        <w:t>IT: GR_GERICHTE ZK2 2015 50 del 23 febbraio 2017</w:t>
      </w:r>
    </w:p>
    <w:p>
      <w:pPr>
        <w:pStyle w:val="Heading2"/>
      </w:pPr>
      <w:r>
        <w:t>Regeste</w:t>
      </w:r>
    </w:p>
    <w:p>
      <w:r>
        <w:t>Forderung aus Lizenzvertrag</w:t>
      </w:r>
    </w:p>
    <w:p>
      <w:pPr>
        <w:pStyle w:val="Heading2"/>
      </w:pPr>
      <w:r>
        <w:t>Erwägungen</w:t>
      </w:r>
    </w:p>
    <w:p>
      <w:r>
        <w:rPr>
          <w:b/>
        </w:rPr>
        <w:t>E. 2</w:t>
      </w:r>
    </w:p>
    <w:p>
      <w:r>
        <w:t>Dem Lizenznehmer A._____ wurde eine, ausserhalb des Gemeindegebiets O.1_____, exklusive Lizenz bezüglich der im Anhang des Vertrags definierten Marken und textilen Lifestyleprodukte erteilt. Im Gegenzug verpflichtete sich der Lizenznehmer nebst der Bezahlung einer einmaligen Eintrittsgebühr von CHF 50'000.-- zu Mindestlizenzgebühren von CHF 100'000.-- (zzgl. MwSt.) für das erste verlängerte Vertragsjahr, wobei eine kontinuierliche Erhöhung um CHF 50'000.-- für jedes weitere Vertragsjahr bis zum Vertragsablauf am 30. Juni 2018 vorgesehen wurde. Die Bezahlung der Mindestlizenzgebühren sollte gemäss Vertrag jeweils quartalsweise in vier gleichmässigen Raten erfolgen. Sodann tra- fen die Parteien eine Regelung über die laufenden, umsatzabhängigen Lizenzge- bühren, welche jeweils einem gewissen Prozentsatz des Nettoumsatzes entspre- chen und unter Anrechnung der Mindestlizenzgebühren zu bezahlen sind.</w:t>
      </w:r>
    </w:p>
    <w:p>
      <w:r>
        <w:rPr>
          <w:b/>
        </w:rPr>
        <w:t>E. 3</w:t>
      </w:r>
    </w:p>
    <w:p>
      <w:r>
        <w:t>Der Kläger führt aus, dass er lediglich einen Teilanspruch in Form von vier Lizenzraten (Juli bis September 2014, Oktober bis Dezember 2014, Januar bis März 2015 und April bis Juni 2015) zuzüglich Zins einklage. Liegt ein teilbarer An- spruch vor, so ist es gemäss Art. 86 ZPO zulässig, auch nur einen Teil davon ein- zuklagen. Als einzige spezifische Voraussetzung für die Zulässigkeit einer Teilkla- ge statuiert das Gesetz die Teilbarkeit des Anspruchs, die bei Geldforderungen stets gegeben ist (Urteil des Bundesgerichts 4A_99/2016 vom 18. Oktober 2016 E. 5.2 [zur Publikation vorgesehen]). Vorliegend lautet das Rechtsbegehren des Klägers auf Bezahlung einer Geldleistung. Ein solches Begehren ist für sich allein nicht individualisierend und kann deshalb mehrere Streitgegenstände umfassen. Bei nicht individualisierenden Rechtsbegehren ist daher der Lebenssachverhalt, auf den sich das Begehren stützt, heranzuziehen. Auch wenn die geltend gemach- ten Ansprüche vorliegend auf demselben Rechtsverhältnis, nämlich dem Lizenz- vertrag, beruhen, sind vier Teilforderungen für verschiedene Zeiträume betroffen, womit es sich um vier separate, eigenständige Ansprüche handelt (vgl. Urteil des Bundesgerichts 4A_99/2016 vom 18. Oktober 2016 E. 5.3.1 [zur Publikation vor- gesehen] insbes. mit Verweis auf BGE 141 III 173 E. 2.2.2). Werden mehrere An- sprüche gleichzeitig geltend gemacht, liegt eine objektive Klagenhäufung im Sinne von Art. 90 ZPO vor. Eine solche Klagenhäufung setzt voraus, dass für die einzel-</w:t>
      </w:r>
    </w:p>
    <w:p>
      <w:r>
        <w:t>Seite 8 — 14 nen Ansprüche das gleiche Gericht sachlich zuständig und die gleiche Verfahrens- art anwendbar ist. Indem der Kläger vier Lizenzraten à CHF 37'500.-- einklagt, macht er die vier Ansprüche kumulativ in ihrem vollen Betrag geltend (vgl. Zif- fer 6.2 des Lizenzvertrags, wonach für das 2. Vertragsjahr vom 1. Juli 2014 bis 30. Juni 2015 Mindestlizenzgebühren von CHF 150'000.-- bzw. pro Quartal CHF 37'500.-- geschuldet sind). Nicht von der Klage erfasst werden die laufenden, umsatzabhängigen Lizenzgebühren (vgl. dazu nachfolgend E. 4d). Für die einge- klagten Ansprüche ist sowohl dasselbe Gericht zuständig (Kantonsgericht als ein- zige kantonale Instanz gestützt auf Art. 5 Abs. 1 lit. a ZPO) und dieselbe Verfah- rensart (ordentliches Verfahren) anwendbar (vgl. zu den Zulässigkeitsvorausset- zungen der Klagenhäufung im Einzelnen Urteil des Bundesgerichts 4A_150/2016 vom 9. Dezember 2016 E. 4.2.3 [zur Publikation vorgesehen]). Da die einzelnen Teilansprüche mit der vorliegenden Klage kumulativ in vollem Umfang eingeklagt werden und aus der Klage hervorgeht, welche Zeitperioden betroffen sind, er- scheint die Teilklage hinreichend präzisiert und genügt den Bestimmtheitsanforde- rungen (anders im Falle einer alternativen objektiven Klagenhäufung, vgl. dazu Urteil des Bundesgerichts 4A_99/2016 vom 18. Oktober 2016 E. 5.4 [zur Publika- tion vorgesehen]). 4.a) In rechtlicher Hinsicht stellt sich vorab die Frage nach der Passivlegitimati- on. Im abgeschlossenen Lizenzvertrag wird der Kläger als Lizenzgeber und A._____ als Lizenznehmer aufgeführt (vgl. act. B.4). In der Klage wird geltend gemacht, dass A._____ den Vertrag auf die Beklagte übertragen habe. Diese Möglichkeit sei ihm in Ziffer 1.6 des Lizenzvertrags eingeräumt worden und der Kläger habe dieser Übertragung bereits mit Abschluss des Lizenzvertrags zuge- stimmt. Nach aussen würde die Beklagte als Lizenznehmerin auftreten, was sich insbesondere der offiziellen Webseite entnehmen lasse. Der Rechtsvertreter der Beklagten verschleiere die Passivlegitimation, indem er mit E-Mail vom 11. De- zember 2014 die Z._____ und nicht die Beklagte als Vertragspartnerin bezeichne, dann jedoch mit E-Mail vom 4. Februar 2015 die Bilanz der Beklagten übermittle und aufgrund bilanzieller Überschuldung derselben den Lizenzvertrag aufheben wolle. Weitere Auskünfte seien verweigert worden. In Ziffer 1.6 des Lizenzvertrags wird festgehalten, dass der Lizenznehmer beabsichtige, die Rechte und Pflichten aus diesem Vertrag auf eine neu zu gründende Gesellschaft, an welcher der Li- zenznehmer anteilsmässig zu mindestens 75% beteiligt sei und zugleich als Ge- schäftsführer auftrete, zu übertragen. Der Lizenzgeber erkläre bereits jetzt sein Einverständnis zu einer entsprechenden Übertragung. Die Passivlegitimation der Beklagten ist mangels Einreichung einer Klageantwort unbestritten geblieben.</w:t>
      </w:r>
    </w:p>
    <w:p>
      <w:r>
        <w:t>Seite 9 — 14 Aufgrund der vorerwähnten Vertragsklausel erscheint es evident, dass die Rechte und Pflichten aus dem Lizenzvertrag auf eine von A._____ beherrschte Gesell- schaft übertragen wurden, so dass diese neu als Lizenznehmerin auftritt. Aus den vom Kläger in diesem Zusammenhang eingereichten Urkunden geht hervor, dass A._____ Geschäftsführer der eingeklagten Y._____ ist, welche mit Gesellschafts- vertrag vom 11. Oktober 2012 und damit nach Unterzeichnung des Lizenzvertrags vom 5. bzw. 6. Juli 2012 gegründet wurde (vgl. act. B.3). Dass A._____ Ge- schäftsführer der Beklagten ist, ergibt sich auch aus dem vom Amtsgericht O.2_____ ausgefertigten Zustellungszeugnis (vgl. act. D.4). Weiter wird gemäss eingelegtem Auszug als Urheberin der Webseite www._____, auf welcher Mode- kollektionen unter der mit Lizenzvertrag vergebenen Marke „O.1_____“ angeboten werden, die Y._____ aufgeführt und als deren Geschäftsführer A._____ genannt (vgl. act. B.5). Ein weiteres gewichtiges Indiz dafür, dass es sich bei der im Li- zenzvertrag erwähnten neu zu gründenden Gesellschaft um die Y._____ handelt, besteht darin, dass dem Rechtsvertreter des Klägers mit E-Mail vom 4. Februar 2015 die Bilanz derselben übermittelt und gleichzeitig angeboten wurde, den Li- zenzvertrag aufzuheben und wechselseitig auf sämtliche Ansprüche zu verzichten (vgl. act. B.8). Ein solcher Verzicht ist nur möglich, wenn es sich bei der Y._____ um die Vertragspartnerin des Klägers bzw. um die Lizenznehmerin handelt. Auch wenn der Rechtsvertreter der Beklagten deren Passivlegitimation mit E-Mail vom 11. Dezember 2014 (vgl. act. B.7) in Abrede stellt, bestehen aufgrund der genann- ten Umstände keine erheblichen Zweifel daran, dass die Y._____ als Lizenzneh- merin in die Rechte und Pflichten des abgeschlossenen Lizenzvertrags eingetre- ten ist. So sind auch die Rechnungen für die Lizenzraten und die Mahnungen (vgl. act. B.15-19) stets an die Y._____ adressiert worden. Schliesslich weist der Kläger auf die eidesstattliche Erklärung von A._____ vom 17. August 2015 hin, wonach Letzterer Geschäftsführer der Y._____ sei und mit dieser in der Vergangenheit Textilien mit der Marke „O.1_____“ vertrieben habe (vgl. act. B.32). Daraus kann geschlossen werden, dass die Rechte und Pflichten aus dem Lizenzvertrag auf die Y._____ übertragen wurden. Die Passivlegitimation der Beklagten ist somit gege- ben. Nur der Vollständigkeit halber sei angemerkt, dass die Aktivlegitimation des Klägers nicht in Frage zu stellen ist. Der X._____ als juristische Person (Art. 60 ff. ZGB) tritt als Vertragspartner auf und ist gemäss Statuten damit betraut, den gu- ten Namen und die touristischen Marken von O.1_____ zu pflegen und insbeson- dere für eine korrekte Verwendung des Schriftzuges „O.1_____ Top of the World“, des Sonnensignets und weiterer Kennzeichen des Kurortes besorgt zu sein. Er kann zur Wahrung der Interessen seiner Mitglieder auch Prozesse führen (vgl. act. B.10).</w:t>
      </w:r>
    </w:p>
    <w:p>
      <w:r>
        <w:t>Seite 10 — 14 b) Im Weiteren ist die geltend gemachte vertragliche Forderung zu prüfen. Der Lizenzvertrag wird als Innominatkontrakt qualifiziert. Durch den Lizenzvertrag ver- pflichtet sich der Lizenzgeber, dem Lizenznehmer die Benutzung eines immateriel- len Gutes zu gestatten. Die Lizenzen unterscheiden sich hauptsächlich nach dem Immaterialgut, an dem sie begründet werden. Dabei gehört es zur Pflicht des Li- zenzgebers, die Nutzungsmöglichkeit am Lizenzgegenstand zu verschaffen. Im Gegenzug verspricht der Lizenznehmer dem Lizenzgeber in der Regel, eine Li- zenzgebühr zu bezahlen. Dies kann eine Stück-, Umsatz oder Gewinnlizenz, mit- unter aber auch eine Pauschal- oder Mindestlizenz sein. Zwischen den Parteien liegt ein Dauerschuldverhältnis vor (vgl. Marc Amstutz/Ariane Morin, in: Hon- sell/Vogt/Wiegand, Basler Kommentar Obligationenrecht I, Art. 1-529 OR, 6. Aufl., Basel 2015, N 238 f., N 242 und N 250 f. zu Einl. vor Art. 184 ff. OR). Vorliegend wurde A._____ mit Lizenzvertrag vom 5. bzw. 6. Juli 2012 das exklusive Recht verliehen, die im Vertrag erwähnten Marken mit dem Bestandteil „O.1_____“ für diverse Bekleidungsprodukte zu verwenden. Als Entgelt wurde einerseits eine Mindestlizenzgebühr und andererseits eine laufende, d.h. umsatzabhängige Li- zenzgebühr vereinbart. Gemäss Ziffer 6.2 des Vertrags beläuft sich die Mindest- lizenzgebühr im ersten verlängerten Vertragsjahr (Inkrafttreten des Vertrags bis 30. Juni 2014) auf CHF 100'000.-- und im zweiten Vertragsjahr (1. Juli 2014 bis 30. Juni 2015) auf CHF 150'000.-- jeweils zuzüglich Mehrwertsteuer. Die einmali- ge Eintrittsgebühr von CHF 50'000.-- sowie die Mindestlizenzgebühr für das erste Vertragsjahr sind nach Angaben des Klägers bezahlt worden. Weitere Zahlungen seien in der Folge indessen ausgeblieben. Eingeklagt wird vorliegend die auf das zweite Vertragsjahr entfallende Mindestlizenzgebühr, welche gemäss Vertrag je- weils quartalsweise in Raten von CHF 37'500.-- geschuldet war. Die erste Rate war nach vertraglicher Vereinbarung am 1. Juli 2014, die zweite am 1. Oktober 2014, die dritte am 1. Januar 2015 und die letzte Rate am 1. April 2015 fällig (vgl. Ziffer 6.2 des Lizenzvertrags). Die für diese vier Raten gestellten Rechnungen über jeweils CHF 37'500.-- werden vom Kläger ins Recht gelegt (vgl. act. B.15 [Rechnung Nr. 61 vom 28. Mai 2014], act. B.16 [Rechnung Nr. 70 vom 8. Septem- ber 2014], act. B.17 [Rechnung Nr. 75 vom 15. Januar 2015] und act. B.18 [Rech- nung Nr. 92 vom 24. April 2015]). Nach einer Zahlungserinnerung für die erste Rate am 6. August 2014 erhielt die Beklagte am 6. November 2014 ein weiteres Mahnschreiben des Rechtsvertreters des Klägers für die ausstehenden ersten beiden Raten unter Ansetzung einer Zahlungsfrist von 30 Tagen (vgl. act. B.19). Der Kläger führt an, dass der Rechtsvertreter der Beklagten mit E-Mail vom 27. November 2014 Gegenansprüche erwähne, diese jedoch nicht einmal ansatz- weise konkretisiere (vgl. act. B.22). In der nachfolgenden E-Mail-Korrespondenz</w:t>
      </w:r>
    </w:p>
    <w:p>
      <w:r>
        <w:t>Seite 11 — 14 werde nichts mehr dergleichen vorgebracht. Dies ist zutreffend. Aus dem weiteren E-Mail-Verkehr geht hervor, dass sich die Beklagte in wirtschaftlichen Schwierig- keiten befindet und ihr ohne Unterstützung die Insolvenz droht (vgl. act. B.24 und B.26). In der E-Mail vom 30. März 2015 wird zwar wiederum von Gegenan- sprüchen und eklatanten Fehlern seitens des Lizenzgebers gesprochen (vgl. act. B.29); auf die Aufforderung hin, diese Vorwürfe zu begründen, wurde jedoch lediglich erwidert, dass die bestehenden Gegenansprüche auch selbst bewertet werden könnten (vgl. act. B.31). Entsprechende Gegen- bzw. Schadenersatzfor- derungen erscheinen somit nicht hinreichend konkretisiert. Dass die Beklagte die Lizenz genutzt und Textilien unter der verliehenen Marke „O.1_____“ vertrieben hat, ist allerdings nicht zu bezweifeln und wird auch vom Geschäftsführer der Be- klagten zugestanden (vgl. act. B.32). Demnach ist für die erfolgte Nutzung die ver- traglich vereinbarte Lizenzgebühr geschuldet. Die Forderung gilt im Umfang der Mindestgebühren von CHF 150'000.-- für das zweite Vertragsjahr (1. Juli 2014 bis 30. Juni 2015) aufgrund des Lizenzvertrags und der gestützt darauf gestellten Rechnungen als ausgewiesen. c) Der Kläger macht zusätzlich zu den vier Teilforderungen jeweils 5% Zins geltend und zwar ab 1. Juli 2014, 1. Oktober 2014, 1. Januar 2015 und 1. April 2015. Er führt aus, dass der Zinsenlauf automatisch mit dem Verzug beginne. Vor- liegend sei die Fälligkeit der Mindestlizenzgebühren derart vereinbart worden, dass die Beklagte bei Nichtbezahlung in Verzug falle. Der Kläger weist zutreffend darauf hin, dass die Fälligkeit der einzelnen Raten durch Datumsangabe im Li- zenzvertrag bestimmt wurde. Wie bereits dargelegt wird die erste Rate gemäss Ziffer 6.2 der Vertragsvereinbarung am 1. Juli 2014, die zweite am 1. Oktober 2014, die dritte am 1. Januar 2015 und die vierte Rate am 1. April 2015 fällig. Ein Verfalltagsgeschäft im Sinne von Art. 102 Abs. 2 OR liegt vor, wenn die Parteien ein bestimmtes Datum für die Erfüllung vereinbart haben oder wenn sich zumin- dest der Fälligkeitszeitpunkt kalendermässig genau berechnen lässt. Durch ge- naue Nennung eines Datums im Vertrag gilt der Verfalltag als bestimmt. Eine Mahnung ist diesfalls entbehrlich, weil sich der Schuldner ohne besonderen Hin- weis bewusst sein muss, wann er seine Verbindlichkeit zu erfüllen hat (vgl. Wolf- gang Wiegand, in: Honsell/Vogt/Wiegand [Hrsg.], Basler Kommentar, Obligatio- nenrecht I, Art. 1-529 OR, 6. Aufl., Basel 2015, N 10 zu Art. 102 OR; Urteil des Bundesgerichts 4A_232/2011 vom 20. September 2011 E. 4.2). Durch die vorer- wähnte Vertragsklausel haben die Parteien vorliegend jeweils einen bestimmten Verfalltag vereinbart, womit die Verzugszinsen mit dessen Ablauf geschuldet sind. Infolge Nichterfüllung geriet die Beklagte somit per 1. Juli 2014, 1. Oktober 2014,</w:t>
      </w:r>
    </w:p>
    <w:p>
      <w:r>
        <w:t>Seite 12 — 14 1. Januar 2015 und 1. April 2015 mit der jeweiligen Ratenzahlung von CHF 37'500.-- in Verzug. Dass der Kläger die Beklagte später dennoch unter er- neuter Fristansetzung gemahnt hat, ändert nichts am eingetretenen Verzug. Dies ist vielmehr im Hinblick auf die weiteren Verzugsfolgen gemäss Ziffer 10.4 des Lizenzvertrags (Kündigungsrecht auf jeden beliebigen Termin hin) erfolgt, da de- ren Eintritt vereinbarungsgemäss eine vorgängige Nachfristansetzung erfordert. Nach dem Gesagten sind die vier Raten jeweils zuzüglich Verzugszins von 5% (Art. 104 Abs. 1 OR) ab 1. Juli 2014, 1. Oktober 2014, 1. Januar 2015 und 1. April 2015 geschuldet. d) Nebst der geltend gemachten Teilforderung bestehend aus den Mindest- lizenzgebühren für das zweite Vertragsjahr wird seitens des Klägers ein Aus- kunftsbegehren gestellt. Es sei ihm nicht möglich, die laufenden, umsatzabhängi- gen Lizenzgebühren für das erste und zweite Vertragsjahr ebenfalls einzuklagen, da er von der Beklagten trotz mehrfacher Aufforderung keine Übersichtslisten mit den erzielten Umsätzen erhalten habe. Mit E-Mail vom 9. Dezember 2014 sei die Beklagte insbesondere darauf aufmerksam gemacht worden, dass eine Abrech- nung für die laufenden Gebühren für das erste Vertragsjahr ausstehend sei (vgl. act. B.27). Gemäss Ziffer 7.4 des Lizenzvertrags ist die Lizenznehmerin verpflich- tet, jeweils innert 30 Tagen nach Ende eines jeden Vertragsjahres die Abrechnung für das vergangene Vertragsjahr vorzulegen. Die laufenden Lizenzgebühren, an welche die betragsmässig bestimmten Mindestlizenzgebühren angerechnet wer- den können (vgl. Ziffer 6.2 des Lizenzvertrags), richten sich nach der Höhe des erzielten Nettoumsatzes (vgl. Ziffer 7.1 des Lizenzvertrags). Der Kläger hat sich das Recht ausbedungen, die entsprechenden Abrechnungen und Unterlagen überprüfen zu lassen (vgl. Ziffer 7.6 des Lizenzvertrags). Zudem wird in Zif- fer 3.2.4 des Lizenzvertrags festgehalten, dass die Lizenznehmerin dem Kläger jeweils unaufgefordert quartalsweise die Abrechnung der laufenden Lizenzge- bühren zustellt. In Zusammenhang mit den umsatzabhängigen Lizenzgebühren besteht damit eine vertragliche Abrechnungs- und Offenlegungspflicht der Beklag- ten. Der Kläger ist auf die Verkaufsabrechnungen angewiesen, um die umsatzab- hängigen Lizenzgebühren ermitteln und einfordern zu können. Die Beklagte ist ihren diesbezüglichen Pflichten offenbar nicht nachgekommen, weshalb das Aus- kunftsbegehren gutzuheissen ist. Nur am Rande sei angemerkt, dass sich in der eingereichten eidesstattlichen Versicherung zwar Angaben zum erzielten Umsatz finden (vgl. act. B.32), allerdings ohne Differenzierung zwischen Brutto- und Net- toumsatz und ohne detaillierte Auflistung der getätigten Verkäufe. Daher ist nach wie vor ein entsprechendes Interesse des Klägers am Erhalt einer detaillierten</w:t>
      </w:r>
    </w:p>
    <w:p>
      <w:r>
        <w:t>Seite 13 — 14 Abrechnung für die ersten beiden Vertragsjahre gegeben. Der Kläger beantragt, die Abrechnung sei ihm innert 30 Tagen seit Abschluss des vorliegenden Verfah- rens zuzustellen. Es ist davon auszugehen, dass mit „Abschluss“ der Eintritt der Rechtskraft des vorliegenden Entscheids gemeint ist. e) Zusammenfassend kann damit festgehalten werden, dass die Klage vollum- fänglich gutzuheissen ist. Der Kläger dringt sowohl mit seinem Forderungs- als auch mit seinem Auskunftsbegehren durch.</w:t>
      </w:r>
    </w:p>
    <w:p>
      <w:r>
        <w:rPr>
          <w:b/>
        </w:rPr>
        <w:t>E. 5</w:t>
      </w:r>
    </w:p>
    <w:p>
      <w:r>
        <w:t>Die Kosten des vorliegenden Verfahrens, bestehend aus den Prozesskos- ten und der Parteientschädigung (Art. 95 Abs. 1 ZPO), sind gestützt auf Art. 106 Abs. 1 ZPO der Beklagten als unterliegende Partei aufzuerlegen. In Anwendung von Art. 8 der Verordnung über die Gerichtsgebühren in Zivilverfahren (VGZ; BR 320.210) wird vorliegend eine Entscheidgebühr von CHF 6'000.-- erhoben. Man- gels Einreichung einer Honorarnote wird die Parteientschädigung des Klägers nach richterlichem Ermessen festgelegt. Angesichts der sich stellenden Sach- und Rechtsfragen sowie des für die Ausarbeitung der Rechtsschrift erforderlichen Auf- wands erscheint eine Parteientschädigung in Höhe von CHF 2'000.-- (inkl. Baraus- lagen) als angemessen.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